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95 vom 10. Januar 2023</w:t>
      </w:r>
    </w:p>
    <w:p>
      <w:r>
        <w:t>VS Kantonsgericht, 2023-01-10, DE</w:t>
      </w:r>
    </w:p>
    <w:p>
      <w:r>
        <w:rPr>
          <w:b/>
        </w:rPr>
        <w:t xml:space="preserve">Quelle: </w:t>
      </w:r>
      <w:r>
        <w:t>https://mcp.opencaselaw.ch/entscheid/vs_gerichte_S1 22 95</w:t>
      </w:r>
    </w:p>
    <w:p>
      <w:r>
        <w:t>FR: VS_GERICHTE S1 22 95 du 10 janvier 2023</w:t>
      </w:r>
    </w:p>
    <w:p>
      <w:r>
        <w:t>IT: VS_GERICHTE S1 22 95 del 10 gennaio 2023</w:t>
      </w:r>
    </w:p>
    <w:p>
      <w:pPr>
        <w:pStyle w:val="Heading2"/>
      </w:pPr>
      <w:r>
        <w:t>Regeste</w:t>
      </w:r>
    </w:p>
    <w:p>
      <w:r>
        <w:t>S1 22 95 URTEIL VOM 10. JANUAR 2023 Kantonsgericht Wallis Sozialversicherungsrechtliche Abteilung Besetzung: Dr. Thierry Schnyder, Präsident; Candido Prada und Thomas Brunner, Kantonsrichter; Renata Kreuzer, Gerichtsschreiberin in Sachen X _________, 3965 Chippis, Beschwerdeführerin gegen AUSGLEICHSKASSE DES KANTONS WALLIS, 1951 Sitten, Beschwerdegegnerin (EL / Vermögensverzicht) Beschwerde gegen den Entscheid vom 30. Mai 2022</w:t>
      </w:r>
    </w:p>
    <w:p>
      <w:pPr>
        <w:pStyle w:val="Heading2"/>
      </w:pPr>
      <w:r>
        <w:t>Erwägungen</w:t>
      </w:r>
    </w:p>
    <w:p>
      <w:r>
        <w:rPr>
          <w:b/>
        </w:rPr>
        <w:t>E. 1.1</w:t>
      </w:r>
    </w:p>
    <w:p>
      <w:r>
        <w:t>Das Kantonsgericht hat die Prozessvoraussetzungen, wie die Partei- und die Prozessfähigkeit, die Zulässigkeit des Rechtswegs, die Zuständigkeit der angerufenen Instanz, das Rechtsschutzinteresse sowie die formrichtige und rechtzeitige Rechtsvor- kehr von Amtes wegen zu prüfen (BGE 131 V 202 E. 1, 126 V 30 E. 1, 125 V 183 E. 1 mit weiteren Hinweisen). Nach Art. 1 Abs. 1 des Bundesgesetzes über die Ergänzungsleistungen zur Alters-, Hin- terlassenen- und Invalidenversicherung vom 6. Oktober 2006 (ELG) sind die Bestim- mungen des Bundesgesetzes über den Allgemeinen Teil des Sozialversicherungsrechts vom 6. Oktober 2000 (ATSG) auf die Leistungen nach dem 2. Kapitel des ELG anwend- bar, soweit dieses nicht ausdrücklich eine Abweichung vom ATSG vorsieht.</w:t>
      </w:r>
    </w:p>
    <w:p>
      <w:r>
        <w:t>- 4 -</w:t>
      </w:r>
    </w:p>
    <w:p>
      <w:r>
        <w:rPr>
          <w:b/>
        </w:rPr>
        <w:t>E. 1.2</w:t>
      </w:r>
    </w:p>
    <w:p>
      <w:r>
        <w:t>Die Beschwerdeführerin ist im Walis wohnhaft; der Streitgegenstand ist sozialversi- cherungsrechtlicher Natur. Die örtliche und sachliche Zuständigkeit der angerufenen So- zialversicherungsrechtlichen Abteilung des Kantonsgerichts ist damit gegeben (Art. 7 Abs. 2 des Gesetzes über die Rechtspflege [RPflG] vom 11. Februar 2009, Art. 1 Abs. 2 des Verfahrensreglements vom 2. Oktober 2001 [RVG] und Art. 81a des Gesetzes über das Verwaltungsverfahren und die Verwaltungsrechtspflege vom 6. Oktober 1976 [VVRG]). Die Beschwerdeführerin ist von den Verfügungen bzw. dem Einspracheent- scheid der Ausgleichskasse berührt und hat ein schutzwürdiges Interesse an dessen Aufhebung oder Änderung. Sie ist somit zur Beschwerde legitimiert (Art. 59 ATSG). Auf die form- (Art. 61 lit. b ATSG) und fristgerecht (Art. 60 ATSG) eingereichte Beschwerde kann eingetreten werden.</w:t>
      </w:r>
    </w:p>
    <w:p>
      <w:r>
        <w:rPr>
          <w:b/>
        </w:rPr>
        <w:t>E. 2</w:t>
      </w:r>
    </w:p>
    <w:p>
      <w:r>
        <w:t>Die Beschwerdeführerin rügt sinngemäss eine unrichtige Anwendung von Art. 9a Abs. 3 ELG, Art. 17a Abs. 5 und Abs. 17b lit. a der Verordnung über die Ergänzungsleistungen zur Alters-, Hinterlassenen- und Invalidenversicherung vom 15. Januar 1971 (ELV) und von Art. 8 Abs. 1 und 2 des Reglements über die Ergänzungsleistungen zur AHV/IV vom 9. Dezember 1998 (ELR).</w:t>
      </w:r>
    </w:p>
    <w:p>
      <w:r>
        <w:rPr>
          <w:b/>
        </w:rPr>
        <w:t>E. 2.1</w:t>
      </w:r>
    </w:p>
    <w:p>
      <w:r>
        <w:t>Personen mit Wohnsitz und gewöhnlichem Aufenthalt (Art. 13 ATSG) in der Schweiz haben Anspruch auf Ergänzungsleistungen, wenn sie unter anderem eine Rente oder eine Hilflosenentschädigung der Invalidenversicherung (IV) beziehen (Art. 4 Abs. 1 lit. c ELG) und falls die weiteren, wirtschaftlichen Bedingungen ebenfalls zutreffen, mithin die anerkannten Ausgaben die anrechenbaren Einnahmen übersteigen. Die jährliche Ergän- zungsleistung hat dem Betrag zu entsprechen, um den die anerkannten Ausgaben die anrechenbaren Einnahmen übersteigen (Art. 9 Abs. 1 ELG). Was zu den anerkannten Ausgaben gezählt wird, ist in Art. 10 ELG geregelt, was zu den anrechenbaren Einnahmen, in Art. 11 ELG. Vermögenswerte sind nach Massgabe von Art. 11 Abs.1 lit. c ELG als Einnahmen zu veranschlagen. Da Ergänzungsleistungen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(Art. 11a Abs. 2 ELG).</w:t>
      </w:r>
    </w:p>
    <w:p>
      <w:r>
        <w:t>- 5 -</w:t>
      </w:r>
    </w:p>
    <w:p>
      <w:r>
        <w:rPr>
          <w:b/>
        </w:rPr>
        <w:t>E. 2.2</w:t>
      </w:r>
    </w:p>
    <w:p>
      <w:r>
        <w:t>Nach Art. 17 Abs. 1 der Verordnung über die Ergänzungsleistungen zur Alters-, Hinterlassenen- und Invalidenversicherung vom 15. Januar 1971 (ELV) ist das anre- chenbare Vermögen nach den Grundsätzen der Gesetzgebung über die direkte kanto- nale Steuer für die Bewertung des Vermögens im Wohnsitzkanton zu bewerten. Dient eine Liegenschaft dem Bezüger oder einer Person, die in der EL-Berechnung einge- schlossen ist, nicht zu eigenen Wohnzwecken, so wird diese zum Verkehrswert einge- setzt (Art. 17a Abs. 4 ELV). Nach Art. 8 Abs. 2 des Reglements über die Ergänzungsleistungen zur AHV/IV vom 9. Dezember 1998 (ELR) entspricht der Verkehrswert in der Regel dem in den zwei vo- rangegangenen Jahren beim Verkauf von Liegenschaften im selben Ortskreis erzielten Durchschnittspreis. Sollte der Steuerwert dem Verkehrswert entsprechen, ist dieser für die Ergänzungsleistungsberechnung massgebend. Ist der Steuerwert offensichtlich zu niedrig oder zu hoch, wird durch die Kasse in Zusammenarbeit mit der kommunalen Kommission für die Katasterschatzungen eine neue Schatzung vorgenommen. Auf eine private Verkehrswertschätzung kann nicht abgestellt werden (BGE 120 V 182 E. 4d).</w:t>
      </w:r>
    </w:p>
    <w:p>
      <w:r>
        <w:rPr>
          <w:b/>
        </w:rPr>
        <w:t>E. 3.1</w:t>
      </w:r>
    </w:p>
    <w:p>
      <w:r>
        <w:t>In casu beauftragte die Ausgleichskasse die kommunale Schatzungskommission mit der Ermittlung des Verkehrswertes der beiden Parzellen, die die Beschwerdeführerin ihrem Sohn als Erbvorbezug übertragen hatte. Die Parzelle mit der Nummer 4867 um- fasst insgesamt 5'850 m², bestehend aus einer Ferienhauszone F1 von 3'662 m² (wovon 2'260 m² Planungszone), Landwirtschaftszone 2 von 1'372 m² und Wald von 816 m². Die Parzelle 4867 wurde auf einen Verkehrswert von CHF 186'100 geschätzt. Der Anteil der Ferienhauszone betrug dabei CHF 183'100. Die zweite Parzelle mit der Nummer 4870 besteht aus 400 m² Wiese und wurde auf CHF 32'000 geschätzt. Insgesamt ergab sich somit ein Verkehrswert von CHF 218'100. Der Ortsschätzer merkte zur Planungszone an: «Innerhalb der Planungszone darf nichts unternommen werden, was eine künftige Abgrenzung des «Siedlungsgebietes», bzw. eine zweckmässige Nutzung im Sinne von Art. 15 RPG erschweren bzw. verun- möglichen könnte. Insbesondere dürfen grundsätzlich keine Bauten und Anlagen erstellt werden, welche zu einer zusätzlichen Zersiedelung führen und eine spätere Zuweisung zu einer anderen Nutzungszone verun- möglichen. In diesem Sinne stellt die Planungszone eine vorsorgliche Massnahme dar. Der Gemeinderat kann auch innerhalb der Planungszone Baubewilligungen erteilen, sofern diese Bauten den Zweck der Planungszone nicht oder nur geringfügig beeinträchtigen. Parzellen in diesem Schätzungsbericht, welche der aktuellen Planungszone der Gemeinde C _________ unterliegen, werden auch als solche aufgeführt. Deren Schätzungswert bezieht sich jedoch auf die entsprechende Bauzone gemäss Bau- und Zonenord- nung der Gemeinde C _________, da, wie oben angeführt, nur ein Gesuch an den Gemeinderat Klarheit über eine allfällige Überbaubarkeit geben kann».</w:t>
      </w:r>
    </w:p>
    <w:p>
      <w:r>
        <w:t>- 6 -</w:t>
      </w:r>
    </w:p>
    <w:p>
      <w:r>
        <w:rPr>
          <w:b/>
        </w:rPr>
        <w:t>E. 3.2</w:t>
      </w:r>
    </w:p>
    <w:p>
      <w:r>
        <w:t>Gegen den Erlass der Planungszone des Gemeinderates von C _________ hatte im Jahr 2017 eine Vielzahl von Grundeigentümern, darunter auch die Beschwerdefüh- rerin zusammen mit ihren Kindern, Einsprache erhoben. Am 13. März 2019 erging der Entscheid des Staatsrates des Kantons Wallis (a.a.O. Dok. 5). Im allgemeinen wurde zur Definition einer Planungszone festgehalten: «Ihre Anwendung ermöglicht es der Behörde, in ei- nem Gebiet, in welchem die Nutzungszone geändert oder ergänzt werden soll, die Realisierung von präju- dizierenden Bauvorhaben zu verhindern. Insofern ist eine Planungszone eine öffentlich-rechtliche Eigen- tumsbeschränkung, welche mit der Eigentumsgarantie (Art. 26 BV) nur vereinbar ist, sofern sie auf einer gesetzlichen Grundlabe beruht, im überwiegenden öffentlichen Interesse liegt und verhältnismässig ist.» Die Ablehnung der Einsprache der Beschwerdeführerin und ihrer Kinder wurde unter anderem mit den folgenden Ausführungen begründet: «… dass die ZNPL der Gemeinde C _________ mit einem theoretischen Überschuss von 39.9 ha an Baulandreserven nicht den bundesrecht- lichen Anforderungen von Art. 15 RPG entspricht, sowie dass die beiden Quartierpläne sich am Siedlungs- rand befinden, innerhalb der Aussenreserven und aus Sicht der Dienststelle für Raumentwicklung nicht in- nerhalb des zukünftigen Siedlungsgebietes für Wohnnutzung, weshalb bis zur Überarbeitung des ZNPL in diesen Sektoren keine Baubewilligungen erteilt werden sollten».</w:t>
      </w:r>
    </w:p>
    <w:p>
      <w:r>
        <w:rPr>
          <w:b/>
        </w:rPr>
        <w:t>E. 3.3</w:t>
      </w:r>
    </w:p>
    <w:p>
      <w:r>
        <w:t>Unbestritten ist, dass die Beschwerdeführerin die Parzellen 4867 und 4870 im Sep- tember 2020 als Erbvorausbezug an ihren Sohn übertragen hat. Dabei floss kein Geld, d.h. es lag ein Verzicht in der ganzen Höhe des Verkehrswertes der beiden Parzellen vor und die Ausgleichskasse war verpflichtet, dieses Verzichtsvermögen bei der Ergän- zungsleistungsberechnung zu berücksichtigen. Zu überprüfen bleibt die Höhe des anrechenbaren Verzichtsvermögens. Nach ständiger und von der Lehre bestätigter Rechtsprechung dürfen nur tatsächlich vereinnahmte Ein- künfte und vorhandene Vermögenswerte berücksichtigt werden, über die der Leistungs- ansprecher ungeschmälert verfügen kann. Die Anrechnung eines Vermögenswerts im Rahmen von Art. 11 Abs. 1 lit. c ELG beruht auf der Fiktion, dass er jederzeit in liquides Vermögen umgewandelt werden und als solches verzehrt werden kann. Ist indessen die Umwandlung in liquide Mittel nicht möglich oder der Zugriff darauf verwehrt, entfällt die Anrechnung (Bundesgerichtsurteil 9C_831/2016 vom 11. Juni 2017 E. 5.1). Für die Be- wertung des entäusserten Vermögens und einer allfälligen Gegenleistung ist der Zeit- punkt des Verzichts massgebend (Rz. 3532.04 der Wegleitung über die Ergänzungsleis- tungen zur AHV und IV [WEL]). Zum Zeitpunkt der Übertragung der beiden Parzellen (und aufgrund der Verlängerung der Planungszone bis zum heutigen Tag) wäre es äus- serst unwahrscheinlich gewesen, dass die Beschwerdeführerin den sich in der Pla- nungszone befindlichen Teil der Parzelle 4867 als Bauland hätte verkaufen können. Dies geht sehr klar aus der Formulierung des Staatsratsentscheids vom 13. März 2019 her-</w:t>
      </w:r>
    </w:p>
    <w:p>
      <w:r>
        <w:t>- 7 - vor, wonach sich dieser Teil der Parzelle 4867 aus Sicht der Dienststelle für Raumpla- nung innerhalb der Aussenreserven und nicht innerhalb des zukünftigen Siedlungsge- bietes befindet, weshalb bis zur Überarbeitung des Zonennutzungsplanes keine Baube- willigung erteilt werden sollte. In diesem Zusammenhang ist auch auf die Interpellation 20.4616 von Nationalrat Roduit und die Antwort des Bundesrates von 17. Februar 2021 zu verweisen. Der Bundesrat stellte fest, dass es sich bei der Auszonung eines Grundstückes um einen unfreiwilligen Vermögensverlust handelt, der nicht auf ein absichtliches oder grobfahrlässiges Verhal- ten der EL-beziehenden Person zurückzuführen ist und dass das Gesetz die EL-bezie- hende Person im Falle einer unfreiwilligen Vermögensverminderung schützt, was be- deutet, dass der EL-Anspruch nicht aufgrund von Umständen, die nicht in der Verant- wortung der betroffenen Person liegen, in Frage gestellt oder verändert werden darf. Wenn jedoch die Herabstufung nach dem Vermögensverzicht erfolgte, schützt das Ge- setz die EL-beziehende Person nicht. Zu berücksichtigen ist der Wert der Liegenschaft, gleich welcher Art, im Zeitpunkt, in dem die EL-beziehende Person zustimmte, auf das Vermögen zu verzichten, d.h. in casu, der Wert der Grundstücke im September 2020.</w:t>
      </w:r>
    </w:p>
    <w:p>
      <w:r>
        <w:rPr>
          <w:b/>
        </w:rPr>
        <w:t>E. 3.4</w:t>
      </w:r>
    </w:p>
    <w:p>
      <w:r>
        <w:t>Da die Beschwerdeführerin über die sich in der Planungszone befindlichen 2'260 m² der Parzelle 4867 nicht hätte ungeschmälert verfügen können, war es nicht rechtens, ihr diesen Teil der Parzelle zum Verkehrswert als Bauland anzurechnen. Ob es aufgrund der Lage und Form des in der Ferienhauszone verbliebenen Grundstückteils von 1402 m² möglich gewesen wäre, diesen für sich allein als Bauland zu verkaufen, ohne dabei den Teil der Planungszone zu entwerten, falls er denn im neuen Zonennutzungsplan in der Bauzone verbleiben sollte, kann das erkennende Gericht nicht beurteilen und ist von der Ausgleichskasse zusammen mit dem Ortsschätzer abzuklären. Aufgrund des Gesagten ist die Beschwerde gutzuheissen und die Sache ist zu den not- wendigen ergänzenden Abklärungen und gestützt darauf zur Neuberechnung eines all- fälligen Ergänzungsleistungsanspruchs an die Ausgleichskasse zurückzuweisen.</w:t>
      </w:r>
    </w:p>
    <w:p>
      <w:r>
        <w:rPr>
          <w:b/>
        </w:rPr>
        <w:t>E. 4.1</w:t>
      </w:r>
    </w:p>
    <w:p>
      <w:r>
        <w:t>Die Ausgleichskasse des Kantons Wallis bezahlt der nicht anwaltlich vertretenen Beschwerdeführerin eine Parteientschädigung in der Höhe von CHF 200 für ihre Ausla- gen (Kopien, Porto usw., Art. 61 lit. g ATSG, Art. 4 GTar).</w:t>
      </w:r>
    </w:p>
    <w:p>
      <w:r>
        <w:rPr>
          <w:b/>
        </w:rPr>
        <w:t>E. 4.2</w:t>
      </w:r>
    </w:p>
    <w:p>
      <w:r>
        <w:t>Das Verfahren ist kostenlos (Art. 61 lit. fbis ATSG).</w:t>
      </w:r>
    </w:p>
    <w:p>
      <w:r>
        <w:t>- 8 -</w:t>
      </w:r>
    </w:p>
    <w:p>
      <w:r>
        <w:rPr>
          <w:b/>
        </w:rPr>
        <w:t>E. 5</w:t>
      </w:r>
    </w:p>
    <w:p>
      <w:r>
        <w:t>In Anbetracht des Verfahrensausganges ist das von der Beschwerdeführerin gestellte Gesuch um unentgeltliche Rechtspflege als gegenstandlos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